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0B" w:rsidRDefault="0058020B">
      <w:pPr>
        <w:pStyle w:val="Textoindependiente"/>
        <w:rPr>
          <w:rFonts w:ascii="Times New Roman"/>
          <w:sz w:val="20"/>
        </w:rPr>
      </w:pPr>
    </w:p>
    <w:p w:rsidR="0058020B" w:rsidRDefault="0058020B">
      <w:pPr>
        <w:pStyle w:val="Textoindependiente"/>
        <w:spacing w:before="11"/>
        <w:rPr>
          <w:rFonts w:ascii="Times New Roman"/>
          <w:sz w:val="20"/>
        </w:rPr>
      </w:pPr>
    </w:p>
    <w:p w:rsidR="0058020B" w:rsidRDefault="0081524F">
      <w:pPr>
        <w:ind w:left="808" w:right="958"/>
        <w:jc w:val="center"/>
      </w:pPr>
      <w:r>
        <w:rPr>
          <w:noProof/>
          <w:lang w:val="es-CO" w:eastAsia="es-CO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1012825</wp:posOffset>
            </wp:positionH>
            <wp:positionV relativeFrom="paragraph">
              <wp:posOffset>-304954</wp:posOffset>
            </wp:positionV>
            <wp:extent cx="2072678" cy="6661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78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5384800</wp:posOffset>
            </wp:positionH>
            <wp:positionV relativeFrom="paragraph">
              <wp:posOffset>-304954</wp:posOffset>
            </wp:positionV>
            <wp:extent cx="1619250" cy="6661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43634"/>
          <w:w w:val="61"/>
        </w:rPr>
        <w:t>C</w:t>
      </w:r>
      <w:r>
        <w:rPr>
          <w:color w:val="943634"/>
          <w:spacing w:val="-37"/>
        </w:rPr>
        <w:t xml:space="preserve"> </w:t>
      </w:r>
      <w:r>
        <w:rPr>
          <w:color w:val="943634"/>
          <w:spacing w:val="1"/>
          <w:w w:val="61"/>
        </w:rPr>
        <w:t>o</w:t>
      </w:r>
      <w:r>
        <w:rPr>
          <w:color w:val="943634"/>
          <w:spacing w:val="-27"/>
          <w:w w:val="95"/>
        </w:rPr>
        <w:t xml:space="preserve"> </w:t>
      </w:r>
      <w:r>
        <w:rPr>
          <w:color w:val="943634"/>
          <w:spacing w:val="1"/>
          <w:w w:val="65"/>
        </w:rPr>
        <w:t>n</w:t>
      </w:r>
      <w:r>
        <w:rPr>
          <w:color w:val="943634"/>
          <w:spacing w:val="-28"/>
          <w:w w:val="95"/>
        </w:rPr>
        <w:t xml:space="preserve"> </w:t>
      </w:r>
      <w:r>
        <w:rPr>
          <w:color w:val="943634"/>
          <w:w w:val="65"/>
        </w:rPr>
        <w:t>v</w:t>
      </w:r>
      <w:r>
        <w:rPr>
          <w:color w:val="943634"/>
          <w:spacing w:val="-36"/>
        </w:rPr>
        <w:t xml:space="preserve"> </w:t>
      </w:r>
      <w:r>
        <w:rPr>
          <w:color w:val="943634"/>
          <w:w w:val="65"/>
        </w:rPr>
        <w:t>e</w:t>
      </w:r>
      <w:r>
        <w:rPr>
          <w:color w:val="943634"/>
          <w:spacing w:val="-33"/>
        </w:rPr>
        <w:t xml:space="preserve"> </w:t>
      </w:r>
      <w:r>
        <w:rPr>
          <w:color w:val="943634"/>
          <w:spacing w:val="1"/>
          <w:w w:val="65"/>
        </w:rPr>
        <w:t>n</w:t>
      </w:r>
      <w:r>
        <w:rPr>
          <w:color w:val="943634"/>
          <w:spacing w:val="-28"/>
          <w:w w:val="95"/>
        </w:rPr>
        <w:t xml:space="preserve"> </w:t>
      </w:r>
      <w:proofErr w:type="spellStart"/>
      <w:proofErr w:type="gramStart"/>
      <w:r>
        <w:rPr>
          <w:color w:val="943634"/>
          <w:spacing w:val="12"/>
          <w:w w:val="76"/>
        </w:rPr>
        <w:t>i</w:t>
      </w:r>
      <w:r>
        <w:rPr>
          <w:color w:val="943634"/>
          <w:spacing w:val="3"/>
          <w:w w:val="65"/>
        </w:rPr>
        <w:t>o</w:t>
      </w:r>
      <w:proofErr w:type="spellEnd"/>
      <w:r>
        <w:rPr>
          <w:color w:val="943634"/>
          <w:w w:val="95"/>
        </w:rPr>
        <w:t xml:space="preserve"> </w:t>
      </w:r>
      <w:r>
        <w:rPr>
          <w:color w:val="943634"/>
          <w:spacing w:val="-38"/>
        </w:rPr>
        <w:t xml:space="preserve"> </w:t>
      </w:r>
      <w:r>
        <w:rPr>
          <w:color w:val="943634"/>
          <w:spacing w:val="18"/>
          <w:w w:val="74"/>
        </w:rPr>
        <w:t>0</w:t>
      </w:r>
      <w:r>
        <w:rPr>
          <w:color w:val="943634"/>
          <w:w w:val="74"/>
        </w:rPr>
        <w:t>3</w:t>
      </w:r>
      <w:proofErr w:type="gramEnd"/>
      <w:r>
        <w:rPr>
          <w:color w:val="943634"/>
          <w:spacing w:val="-41"/>
        </w:rPr>
        <w:t xml:space="preserve"> </w:t>
      </w:r>
      <w:r>
        <w:rPr>
          <w:color w:val="943634"/>
          <w:w w:val="69"/>
        </w:rPr>
        <w:t>2</w:t>
      </w:r>
      <w:r>
        <w:rPr>
          <w:color w:val="943634"/>
          <w:spacing w:val="-34"/>
          <w:w w:val="95"/>
        </w:rPr>
        <w:t xml:space="preserve"> </w:t>
      </w:r>
      <w:r>
        <w:rPr>
          <w:color w:val="943634"/>
          <w:spacing w:val="-10"/>
          <w:w w:val="152"/>
        </w:rPr>
        <w:t>/</w:t>
      </w:r>
      <w:r>
        <w:rPr>
          <w:color w:val="943634"/>
          <w:w w:val="69"/>
        </w:rPr>
        <w:t>2</w:t>
      </w:r>
      <w:r>
        <w:rPr>
          <w:color w:val="943634"/>
          <w:spacing w:val="-37"/>
        </w:rPr>
        <w:t xml:space="preserve"> </w:t>
      </w:r>
      <w:r>
        <w:rPr>
          <w:color w:val="943634"/>
          <w:spacing w:val="16"/>
          <w:w w:val="56"/>
        </w:rPr>
        <w:t>0</w:t>
      </w:r>
      <w:r>
        <w:rPr>
          <w:color w:val="943634"/>
          <w:w w:val="56"/>
        </w:rPr>
        <w:t>1</w:t>
      </w:r>
      <w:r>
        <w:rPr>
          <w:color w:val="943634"/>
          <w:spacing w:val="7"/>
          <w:w w:val="95"/>
        </w:rPr>
        <w:t xml:space="preserve"> </w:t>
      </w:r>
      <w:r>
        <w:rPr>
          <w:color w:val="943634"/>
          <w:spacing w:val="3"/>
          <w:w w:val="69"/>
        </w:rPr>
        <w:t>5</w:t>
      </w:r>
      <w:r>
        <w:rPr>
          <w:w w:val="95"/>
        </w:rPr>
        <w:t xml:space="preserve"> </w:t>
      </w:r>
    </w:p>
    <w:p w:rsidR="0058020B" w:rsidRDefault="0081524F">
      <w:pPr>
        <w:spacing w:before="25"/>
        <w:ind w:left="808" w:right="958"/>
        <w:jc w:val="center"/>
      </w:pPr>
      <w:r>
        <w:rPr>
          <w:color w:val="943634"/>
          <w:w w:val="70"/>
        </w:rPr>
        <w:t xml:space="preserve">UT CH – </w:t>
      </w:r>
      <w:proofErr w:type="spellStart"/>
      <w:r>
        <w:rPr>
          <w:color w:val="943634"/>
          <w:w w:val="70"/>
        </w:rPr>
        <w:t>Go</w:t>
      </w:r>
      <w:proofErr w:type="spellEnd"/>
      <w:r>
        <w:rPr>
          <w:color w:val="943634"/>
          <w:w w:val="70"/>
        </w:rPr>
        <w:t xml:space="preserve"> be </w:t>
      </w:r>
      <w:proofErr w:type="spellStart"/>
      <w:r>
        <w:rPr>
          <w:color w:val="943634"/>
          <w:w w:val="70"/>
        </w:rPr>
        <w:t>rn</w:t>
      </w:r>
      <w:proofErr w:type="spellEnd"/>
      <w:r>
        <w:rPr>
          <w:color w:val="943634"/>
          <w:w w:val="70"/>
        </w:rPr>
        <w:t xml:space="preserve"> </w:t>
      </w:r>
      <w:proofErr w:type="spellStart"/>
      <w:r>
        <w:rPr>
          <w:color w:val="943634"/>
          <w:w w:val="70"/>
        </w:rPr>
        <w:t>ación</w:t>
      </w:r>
      <w:proofErr w:type="spellEnd"/>
      <w:r>
        <w:rPr>
          <w:color w:val="943634"/>
          <w:w w:val="70"/>
        </w:rPr>
        <w:t xml:space="preserve"> d e l Chocó</w:t>
      </w:r>
      <w:r>
        <w:rPr>
          <w:w w:val="95"/>
        </w:rPr>
        <w:t xml:space="preserve"> </w:t>
      </w:r>
    </w:p>
    <w:p w:rsidR="0058020B" w:rsidRDefault="0081524F">
      <w:pPr>
        <w:spacing w:before="7"/>
        <w:ind w:left="808" w:right="958"/>
        <w:jc w:val="center"/>
      </w:pPr>
      <w:r>
        <w:rPr>
          <w:color w:val="943634"/>
          <w:w w:val="75"/>
        </w:rPr>
        <w:t xml:space="preserve">C o n v o </w:t>
      </w:r>
      <w:proofErr w:type="spellStart"/>
      <w:r>
        <w:rPr>
          <w:color w:val="943634"/>
          <w:w w:val="75"/>
        </w:rPr>
        <w:t>ca</w:t>
      </w:r>
      <w:proofErr w:type="spellEnd"/>
      <w:r>
        <w:rPr>
          <w:color w:val="943634"/>
          <w:w w:val="75"/>
        </w:rPr>
        <w:t xml:space="preserve"> to </w:t>
      </w:r>
      <w:proofErr w:type="spellStart"/>
      <w:r>
        <w:rPr>
          <w:color w:val="943634"/>
          <w:w w:val="75"/>
        </w:rPr>
        <w:t>ria</w:t>
      </w:r>
      <w:proofErr w:type="spellEnd"/>
      <w:r>
        <w:rPr>
          <w:color w:val="943634"/>
          <w:w w:val="75"/>
        </w:rPr>
        <w:t xml:space="preserve"> 0 1 -1 d e 2 0 2 2 – </w:t>
      </w:r>
      <w:proofErr w:type="spellStart"/>
      <w:r>
        <w:rPr>
          <w:color w:val="943634"/>
          <w:w w:val="75"/>
        </w:rPr>
        <w:t>Ma</w:t>
      </w:r>
      <w:proofErr w:type="spellEnd"/>
      <w:r>
        <w:rPr>
          <w:color w:val="943634"/>
          <w:w w:val="75"/>
        </w:rPr>
        <w:t xml:space="preserve"> e </w:t>
      </w:r>
      <w:proofErr w:type="spellStart"/>
      <w:r>
        <w:rPr>
          <w:color w:val="943634"/>
          <w:w w:val="75"/>
        </w:rPr>
        <w:t>stría</w:t>
      </w:r>
      <w:proofErr w:type="spellEnd"/>
      <w:r>
        <w:rPr>
          <w:color w:val="943634"/>
          <w:w w:val="75"/>
        </w:rPr>
        <w:t xml:space="preserve"> Exterior</w:t>
      </w:r>
      <w:r>
        <w:rPr>
          <w:w w:val="95"/>
        </w:rPr>
        <w:t xml:space="preserve"> </w:t>
      </w:r>
    </w:p>
    <w:p w:rsidR="0058020B" w:rsidRDefault="0081524F">
      <w:pPr>
        <w:pStyle w:val="Textoindependiente"/>
        <w:spacing w:line="60" w:lineRule="exact"/>
        <w:ind w:left="80"/>
        <w:rPr>
          <w:sz w:val="6"/>
        </w:rPr>
      </w:pPr>
      <w:r>
        <w:rPr>
          <w:noProof/>
          <w:sz w:val="6"/>
          <w:lang w:val="es-CO" w:eastAsia="es-CO"/>
        </w:rPr>
        <mc:AlternateContent>
          <mc:Choice Requires="wpg">
            <w:drawing>
              <wp:inline distT="0" distB="0" distL="0" distR="0">
                <wp:extent cx="5991225" cy="38100"/>
                <wp:effectExtent l="19050" t="0" r="1905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38100"/>
                          <a:chOff x="0" y="0"/>
                          <a:chExt cx="9435" cy="6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43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436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AB826" id="Group 2" o:spid="_x0000_s1026" style="width:471.75pt;height:3pt;mso-position-horizontal-relative:char;mso-position-vertical-relative:line" coordsize="94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">
                <v:line id="Line 3" o:spid="_x0000_s1027" style="position:absolute;visibility:visible;mso-wrap-style:square" from="0,30" to="9435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" strokecolor="#943634" strokeweight="3pt"/>
                <w10:anchorlock/>
              </v:group>
            </w:pict>
          </mc:Fallback>
        </mc:AlternateContent>
      </w:r>
    </w:p>
    <w:p w:rsidR="0058020B" w:rsidRDefault="0058020B">
      <w:pPr>
        <w:pStyle w:val="Textoindependiente"/>
        <w:rPr>
          <w:sz w:val="20"/>
        </w:rPr>
      </w:pPr>
    </w:p>
    <w:p w:rsidR="0058020B" w:rsidRDefault="0058020B">
      <w:pPr>
        <w:pStyle w:val="Textoindependiente"/>
        <w:rPr>
          <w:sz w:val="20"/>
        </w:rPr>
      </w:pPr>
    </w:p>
    <w:p w:rsidR="0058020B" w:rsidRDefault="0058020B">
      <w:pPr>
        <w:pStyle w:val="Textoindependiente"/>
        <w:rPr>
          <w:sz w:val="20"/>
        </w:rPr>
      </w:pPr>
    </w:p>
    <w:p w:rsidR="0058020B" w:rsidRDefault="0058020B">
      <w:pPr>
        <w:pStyle w:val="Textoindependiente"/>
        <w:rPr>
          <w:sz w:val="20"/>
        </w:rPr>
      </w:pPr>
    </w:p>
    <w:p w:rsidR="0058020B" w:rsidRDefault="0058020B">
      <w:pPr>
        <w:pStyle w:val="Textoindependiente"/>
        <w:rPr>
          <w:sz w:val="20"/>
        </w:rPr>
      </w:pPr>
    </w:p>
    <w:p w:rsidR="0058020B" w:rsidRDefault="0058020B">
      <w:pPr>
        <w:pStyle w:val="Textoindependiente"/>
        <w:spacing w:before="7"/>
        <w:rPr>
          <w:sz w:val="22"/>
        </w:rPr>
      </w:pPr>
    </w:p>
    <w:p w:rsidR="0058020B" w:rsidRDefault="0081524F">
      <w:pPr>
        <w:pStyle w:val="Ttulo1"/>
        <w:spacing w:line="264" w:lineRule="auto"/>
        <w:ind w:right="1183"/>
      </w:pPr>
      <w:r>
        <w:t>CONVOCATORIA PARA LA FORMACIÓN DE ALTO NIVE</w:t>
      </w:r>
      <w:r w:rsidR="004A58B7">
        <w:t>L PARA EL DEPARTAMENTO DEL CHOCÓ</w:t>
      </w:r>
      <w:r>
        <w:t xml:space="preserve"> – MAESTRIA EXTERIOR 2022</w:t>
      </w:r>
    </w:p>
    <w:p w:rsidR="0058020B" w:rsidRDefault="0058020B">
      <w:pPr>
        <w:pStyle w:val="Textoindependiente"/>
        <w:rPr>
          <w:b/>
          <w:sz w:val="26"/>
        </w:rPr>
      </w:pPr>
    </w:p>
    <w:p w:rsidR="0058020B" w:rsidRDefault="0058020B">
      <w:pPr>
        <w:pStyle w:val="Textoindependiente"/>
        <w:spacing w:before="7"/>
        <w:rPr>
          <w:b/>
          <w:sz w:val="25"/>
        </w:rPr>
      </w:pPr>
    </w:p>
    <w:p w:rsidR="0058020B" w:rsidRDefault="0081524F">
      <w:pPr>
        <w:ind w:left="808" w:right="1182"/>
        <w:jc w:val="center"/>
        <w:rPr>
          <w:b/>
          <w:sz w:val="24"/>
        </w:rPr>
      </w:pPr>
      <w:r>
        <w:rPr>
          <w:b/>
          <w:sz w:val="24"/>
        </w:rPr>
        <w:t xml:space="preserve">Publicación </w:t>
      </w:r>
      <w:r w:rsidR="0095674C">
        <w:rPr>
          <w:b/>
          <w:sz w:val="24"/>
        </w:rPr>
        <w:t xml:space="preserve">Listado </w:t>
      </w:r>
      <w:r w:rsidR="00724384">
        <w:rPr>
          <w:b/>
          <w:sz w:val="24"/>
        </w:rPr>
        <w:t>Definitivo</w:t>
      </w:r>
      <w:r>
        <w:rPr>
          <w:b/>
          <w:sz w:val="24"/>
        </w:rPr>
        <w:t xml:space="preserve"> de Elegibles</w:t>
      </w:r>
    </w:p>
    <w:p w:rsidR="0058020B" w:rsidRDefault="0058020B">
      <w:pPr>
        <w:pStyle w:val="Textoindependiente"/>
        <w:rPr>
          <w:b/>
          <w:sz w:val="26"/>
        </w:rPr>
      </w:pPr>
    </w:p>
    <w:p w:rsidR="0058020B" w:rsidRDefault="0058020B">
      <w:pPr>
        <w:pStyle w:val="Textoindependiente"/>
        <w:spacing w:before="1"/>
        <w:rPr>
          <w:b/>
          <w:sz w:val="30"/>
        </w:rPr>
      </w:pPr>
    </w:p>
    <w:p w:rsidR="0058020B" w:rsidRDefault="0081524F">
      <w:pPr>
        <w:pStyle w:val="Textoindependiente"/>
        <w:spacing w:line="261" w:lineRule="auto"/>
        <w:ind w:left="221" w:right="594"/>
        <w:jc w:val="both"/>
      </w:pPr>
      <w:r>
        <w:t xml:space="preserve">El Departamento del Chocó y la Universidad Tecnológica del Chocó “Diego Luís Córdoba”, atendiendo al numeral 9 de los Términos de Referencia de la Convocatoria 01 – 1 de 2022 para Maestría Exterior, presenta a continuación el Listado </w:t>
      </w:r>
      <w:r w:rsidR="00724384">
        <w:t>Definitivo</w:t>
      </w:r>
      <w:r>
        <w:t xml:space="preserve"> de Elegibles.</w:t>
      </w:r>
    </w:p>
    <w:p w:rsidR="0058020B" w:rsidRDefault="0058020B">
      <w:pPr>
        <w:pStyle w:val="Textoindependiente"/>
        <w:rPr>
          <w:sz w:val="20"/>
        </w:rPr>
      </w:pPr>
    </w:p>
    <w:p w:rsidR="0058020B" w:rsidRDefault="0058020B">
      <w:pPr>
        <w:pStyle w:val="Textoindependiente"/>
        <w:rPr>
          <w:sz w:val="20"/>
        </w:rPr>
      </w:pPr>
    </w:p>
    <w:p w:rsidR="0058020B" w:rsidRDefault="0058020B">
      <w:pPr>
        <w:pStyle w:val="Textoindependiente"/>
        <w:rPr>
          <w:sz w:val="20"/>
        </w:rPr>
      </w:pPr>
    </w:p>
    <w:p w:rsidR="0058020B" w:rsidRDefault="0058020B">
      <w:pPr>
        <w:pStyle w:val="Textoindependiente"/>
        <w:rPr>
          <w:sz w:val="20"/>
        </w:rPr>
      </w:pPr>
    </w:p>
    <w:p w:rsidR="0058020B" w:rsidRDefault="0058020B">
      <w:pPr>
        <w:pStyle w:val="Textoindependiente"/>
        <w:spacing w:before="7"/>
        <w:rPr>
          <w:sz w:val="13"/>
        </w:rPr>
      </w:pPr>
    </w:p>
    <w:tbl>
      <w:tblPr>
        <w:tblStyle w:val="TableNormal"/>
        <w:tblW w:w="0" w:type="auto"/>
        <w:tblInd w:w="25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120"/>
      </w:tblGrid>
      <w:tr w:rsidR="0058020B">
        <w:trPr>
          <w:trHeight w:val="263"/>
        </w:trPr>
        <w:tc>
          <w:tcPr>
            <w:tcW w:w="1138" w:type="dxa"/>
          </w:tcPr>
          <w:p w:rsidR="0058020B" w:rsidRDefault="0081524F">
            <w:pPr>
              <w:pStyle w:val="TableParagraph"/>
              <w:spacing w:line="243" w:lineRule="exact"/>
              <w:ind w:left="97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</w:p>
        </w:tc>
        <w:tc>
          <w:tcPr>
            <w:tcW w:w="3120" w:type="dxa"/>
          </w:tcPr>
          <w:p w:rsidR="0058020B" w:rsidRDefault="0081524F">
            <w:pPr>
              <w:pStyle w:val="TableParagraph"/>
              <w:spacing w:line="243" w:lineRule="exact"/>
              <w:ind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Documento de Identidad</w:t>
            </w:r>
          </w:p>
        </w:tc>
      </w:tr>
      <w:tr w:rsidR="0058020B">
        <w:trPr>
          <w:trHeight w:val="258"/>
        </w:trPr>
        <w:tc>
          <w:tcPr>
            <w:tcW w:w="1138" w:type="dxa"/>
          </w:tcPr>
          <w:p w:rsidR="0058020B" w:rsidRDefault="0081524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58020B" w:rsidRDefault="0081524F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1078117146</w:t>
            </w:r>
          </w:p>
        </w:tc>
      </w:tr>
    </w:tbl>
    <w:p w:rsidR="0058020B" w:rsidRDefault="0058020B">
      <w:pPr>
        <w:pStyle w:val="Textoindependiente"/>
        <w:rPr>
          <w:sz w:val="20"/>
        </w:rPr>
      </w:pPr>
    </w:p>
    <w:p w:rsidR="0058020B" w:rsidRDefault="0058020B">
      <w:pPr>
        <w:pStyle w:val="Textoindependiente"/>
        <w:rPr>
          <w:sz w:val="20"/>
        </w:rPr>
      </w:pPr>
    </w:p>
    <w:p w:rsidR="0058020B" w:rsidRDefault="0058020B">
      <w:pPr>
        <w:pStyle w:val="Textoindependiente"/>
        <w:spacing w:before="7"/>
        <w:rPr>
          <w:sz w:val="29"/>
        </w:rPr>
      </w:pPr>
    </w:p>
    <w:p w:rsidR="0058020B" w:rsidRDefault="0081524F">
      <w:pPr>
        <w:pStyle w:val="Textoindependiente"/>
        <w:spacing w:before="93" w:line="261" w:lineRule="auto"/>
        <w:ind w:left="221" w:right="594"/>
        <w:jc w:val="both"/>
      </w:pPr>
      <w:r>
        <w:t xml:space="preserve">La inclusión en el listado </w:t>
      </w:r>
      <w:r w:rsidR="00724384">
        <w:t>Definitivo</w:t>
      </w:r>
      <w:r>
        <w:t xml:space="preserve"> de elegibles no implica obligatoriedad ni compromiso alguno de financiación por parte de la Gobernación del Chocó ni de la Universidad Tecnológica del Chocó. En todo caso, la financiación de los</w:t>
      </w:r>
      <w:r>
        <w:rPr>
          <w:spacing w:val="-13"/>
        </w:rPr>
        <w:t xml:space="preserve"> </w:t>
      </w:r>
      <w:r>
        <w:t xml:space="preserve">aspirantes dependerá </w:t>
      </w:r>
      <w:r w:rsidR="00EC3323">
        <w:t xml:space="preserve">de </w:t>
      </w:r>
      <w:bookmarkStart w:id="0" w:name="_GoBack"/>
      <w:bookmarkEnd w:id="0"/>
      <w:r>
        <w:t>la disponibilidad presupuestal.</w:t>
      </w:r>
    </w:p>
    <w:p w:rsidR="0058020B" w:rsidRDefault="0081524F">
      <w:pPr>
        <w:pStyle w:val="Textoindependiente"/>
        <w:spacing w:before="156" w:line="259" w:lineRule="auto"/>
        <w:ind w:left="221" w:right="595"/>
        <w:jc w:val="both"/>
      </w:pPr>
      <w:r>
        <w:t xml:space="preserve">El listado </w:t>
      </w:r>
      <w:r w:rsidR="00724384">
        <w:t>Definitivo</w:t>
      </w:r>
      <w:r>
        <w:t xml:space="preserve"> de elegibles fue establecido en orden descendente de</w:t>
      </w:r>
      <w:r>
        <w:rPr>
          <w:spacing w:val="-16"/>
        </w:rPr>
        <w:t xml:space="preserve"> </w:t>
      </w:r>
      <w:r>
        <w:t>acuerdo con la calificación</w:t>
      </w:r>
      <w:r>
        <w:rPr>
          <w:spacing w:val="-1"/>
        </w:rPr>
        <w:t xml:space="preserve"> </w:t>
      </w:r>
      <w:r>
        <w:t>obtenida.</w:t>
      </w:r>
    </w:p>
    <w:p w:rsidR="0058020B" w:rsidRDefault="0058020B">
      <w:pPr>
        <w:pStyle w:val="Textoindependiente"/>
        <w:rPr>
          <w:sz w:val="26"/>
        </w:rPr>
      </w:pPr>
    </w:p>
    <w:p w:rsidR="0058020B" w:rsidRDefault="0058020B">
      <w:pPr>
        <w:pStyle w:val="Textoindependiente"/>
        <w:rPr>
          <w:sz w:val="26"/>
        </w:rPr>
      </w:pPr>
    </w:p>
    <w:p w:rsidR="0058020B" w:rsidRDefault="0058020B">
      <w:pPr>
        <w:pStyle w:val="Textoindependiente"/>
        <w:rPr>
          <w:sz w:val="26"/>
        </w:rPr>
      </w:pPr>
    </w:p>
    <w:p w:rsidR="0058020B" w:rsidRDefault="00B81661">
      <w:pPr>
        <w:pStyle w:val="Textoindependiente"/>
        <w:spacing w:before="163"/>
        <w:ind w:left="221"/>
        <w:jc w:val="both"/>
      </w:pPr>
      <w:r>
        <w:t>Quibdó, julio 21</w:t>
      </w:r>
      <w:r w:rsidR="0081524F">
        <w:t xml:space="preserve"> de 2022.</w:t>
      </w:r>
    </w:p>
    <w:sectPr w:rsidR="0058020B">
      <w:type w:val="continuous"/>
      <w:pgSz w:w="12240" w:h="15840"/>
      <w:pgMar w:top="220" w:right="11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0B"/>
    <w:rsid w:val="004A58B7"/>
    <w:rsid w:val="0058020B"/>
    <w:rsid w:val="006507B5"/>
    <w:rsid w:val="00724384"/>
    <w:rsid w:val="0081524F"/>
    <w:rsid w:val="0095674C"/>
    <w:rsid w:val="00B81661"/>
    <w:rsid w:val="00EC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BA82"/>
  <w15:docId w15:val="{5D10D555-E2AC-4297-9294-343A08F4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808" w:right="1182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8" w:lineRule="exact"/>
      <w:ind w:left="14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LISTADO PRELIMINAR DE ELEGIBLES.docx</vt:lpstr>
    </vt:vector>
  </TitlesOfParts>
  <Company>HP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LISTADO PRELIMINAR DE ELEGIBLES.docx</dc:title>
  <dc:creator>Canela</dc:creator>
  <cp:lastModifiedBy>GTIS</cp:lastModifiedBy>
  <cp:revision>4</cp:revision>
  <dcterms:created xsi:type="dcterms:W3CDTF">2022-07-21T20:07:00Z</dcterms:created>
  <dcterms:modified xsi:type="dcterms:W3CDTF">2022-07-21T20:27:00Z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Word</vt:lpwstr>
  </property>
  <property fmtid="{D5CDD505-2E9C-101B-9397-08002B2CF9AE}" pid="4" name="LastSaved">
    <vt:filetime>2022-07-21T00:00:00Z</vt:filetime>
  </property>
</Properties>
</file>